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3696"/>
            </w:tblGrid>
            <w:tr w:rsidR="005845D3" w:rsidRPr="005845D3" w14:paraId="5CBE3F92" w14:textId="77777777">
              <w:trPr>
                <w:trHeight w:val="110"/>
              </w:trPr>
              <w:tc>
                <w:tcPr>
                  <w:tcW w:w="0" w:type="auto"/>
                </w:tcPr>
                <w:p w14:paraId="79E18BD4" w14:textId="2F405851"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29653B">
                    <w:rPr>
                      <w:rFonts w:ascii="Calibri" w:hAnsi="Calibri" w:cs="Calibri"/>
                      <w:color w:val="000000"/>
                    </w:rPr>
                    <w:t>Upper Ford Lodge</w:t>
                  </w:r>
                  <w:r w:rsidR="00EE41C6">
                    <w:rPr>
                      <w:rFonts w:ascii="Calibri" w:hAnsi="Calibri" w:cs="Calibri"/>
                      <w:color w:val="000000"/>
                    </w:rPr>
                    <w:t xml:space="preserve">- Droitwich </w:t>
                  </w:r>
                  <w:r w:rsidR="005845D3" w:rsidRPr="005845D3">
                    <w:rPr>
                      <w:rFonts w:ascii="Calibri" w:hAnsi="Calibri" w:cs="Calibri"/>
                      <w:color w:val="000000"/>
                    </w:rPr>
                    <w:t xml:space="preserve">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6C8A" w14:textId="77777777" w:rsidR="00561582" w:rsidRDefault="00561582" w:rsidP="00681B44">
      <w:pPr>
        <w:spacing w:after="0" w:line="240" w:lineRule="auto"/>
      </w:pPr>
      <w:r>
        <w:separator/>
      </w:r>
    </w:p>
  </w:endnote>
  <w:endnote w:type="continuationSeparator" w:id="0">
    <w:p w14:paraId="5A78787F" w14:textId="77777777" w:rsidR="00561582" w:rsidRDefault="00561582"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B5D3" w14:textId="77777777" w:rsidR="00561582" w:rsidRDefault="00561582" w:rsidP="00681B44">
      <w:pPr>
        <w:spacing w:after="0" w:line="240" w:lineRule="auto"/>
      </w:pPr>
      <w:r>
        <w:separator/>
      </w:r>
    </w:p>
  </w:footnote>
  <w:footnote w:type="continuationSeparator" w:id="0">
    <w:p w14:paraId="650951A0" w14:textId="77777777" w:rsidR="00561582" w:rsidRDefault="00561582"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82FB2"/>
    <w:rsid w:val="001030E9"/>
    <w:rsid w:val="00120C0A"/>
    <w:rsid w:val="00151510"/>
    <w:rsid w:val="00160998"/>
    <w:rsid w:val="001B37C4"/>
    <w:rsid w:val="00211BF7"/>
    <w:rsid w:val="00217722"/>
    <w:rsid w:val="00217BDE"/>
    <w:rsid w:val="002256D0"/>
    <w:rsid w:val="0024410D"/>
    <w:rsid w:val="0029653B"/>
    <w:rsid w:val="002A0882"/>
    <w:rsid w:val="002B50AB"/>
    <w:rsid w:val="002D18E4"/>
    <w:rsid w:val="002E5944"/>
    <w:rsid w:val="002F2666"/>
    <w:rsid w:val="0033180E"/>
    <w:rsid w:val="003462A5"/>
    <w:rsid w:val="003B1CBC"/>
    <w:rsid w:val="00462AE8"/>
    <w:rsid w:val="00492B38"/>
    <w:rsid w:val="004A259B"/>
    <w:rsid w:val="004C24F4"/>
    <w:rsid w:val="004F3B12"/>
    <w:rsid w:val="00561582"/>
    <w:rsid w:val="005845D3"/>
    <w:rsid w:val="005A006F"/>
    <w:rsid w:val="005C68A1"/>
    <w:rsid w:val="005F1276"/>
    <w:rsid w:val="005F2638"/>
    <w:rsid w:val="006305E4"/>
    <w:rsid w:val="006366CE"/>
    <w:rsid w:val="00664B26"/>
    <w:rsid w:val="006712C7"/>
    <w:rsid w:val="00672385"/>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B44FB"/>
    <w:rsid w:val="00E133A9"/>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2022-04-08T08:18:00Z</dcterms:created>
  <dcterms:modified xsi:type="dcterms:W3CDTF">2022-04-08T08:18:00Z</dcterms:modified>
</cp:coreProperties>
</file>